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800"/>
        <w:jc w:val="center"/>
      </w:pPr>
      <w:r>
        <w:rPr>
          <w:rFonts w:ascii="Arial" w:hAnsi="Arial" w:eastAsia="Microsoft YaHei"/>
          <w:b/>
          <w:color w:val="1A4766"/>
          <w:sz w:val="48"/>
        </w:rPr>
        <w:t>OpenClaw + Agent‑S + UI‑TARS</w:t>
        <w:br/>
        <w:t>网站巡检与桌面执行协同方案</w:t>
      </w:r>
    </w:p>
    <w:p>
      <w:pPr>
        <w:spacing w:before="280"/>
        <w:jc w:val="center"/>
      </w:pPr>
      <w:r>
        <w:rPr>
          <w:rFonts w:ascii="Arial" w:hAnsi="Arial" w:eastAsia="Microsoft YaHei"/>
          <w:color w:val="5A5A5A"/>
          <w:sz w:val="24"/>
        </w:rPr>
        <w:t>面向 Codex 执行的实施文档（Windows 本机优先）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2268"/>
            <w:vAlign w:val="center"/>
            <w:shd w:fill="1F4E79"/>
          </w:tcPr>
          <w:p>
            <w:pPr>
              <w:jc w:val="center"/>
            </w:pPr>
            <w:r/>
            <w:r>
              <w:rPr>
                <w:rFonts w:ascii="Arial" w:hAnsi="Arial" w:eastAsia="Microsoft YaHei"/>
                <w:b/>
                <w:color w:val="FFFFFF"/>
                <w:sz w:val="20"/>
              </w:rPr>
              <w:t>目标</w:t>
            </w:r>
          </w:p>
        </w:tc>
        <w:tc>
          <w:tcPr>
            <w:tcW w:type="dxa" w:w="6236"/>
            <w:vAlign w:val="center"/>
            <w:shd w:fill="F7FBFF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让 OpenClaw 负责任务编排与调度，让 Agent‑S 负责复杂 GUI 执行，并用 UI‑TARS 能力增强屏幕理解与精确交互。</w:t>
            </w:r>
          </w:p>
        </w:tc>
      </w:tr>
      <w:tr>
        <w:tc>
          <w:tcPr>
            <w:tcW w:type="dxa" w:w="2268"/>
            <w:vAlign w:val="center"/>
            <w:shd w:fill="1F4E79"/>
          </w:tcPr>
          <w:p>
            <w:pPr>
              <w:jc w:val="center"/>
            </w:pPr>
            <w:r/>
            <w:r>
              <w:rPr>
                <w:rFonts w:ascii="Arial" w:hAnsi="Arial" w:eastAsia="Microsoft YaHei"/>
                <w:b/>
                <w:color w:val="FFFFFF"/>
                <w:sz w:val="20"/>
              </w:rPr>
              <w:t>推荐结论</w:t>
            </w:r>
          </w:p>
        </w:tc>
        <w:tc>
          <w:tcPr>
            <w:tcW w:type="dxa" w:w="6236"/>
            <w:vAlign w:val="center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采用“OpenClaw 外层编排 + Agent‑S 执行内核 + UI‑TARS 作为 grounding/参考实现”的分层方案，不建议让 UI‑TARS Desktop 直接成为主控平台。</w:t>
            </w:r>
          </w:p>
        </w:tc>
      </w:tr>
      <w:tr>
        <w:tc>
          <w:tcPr>
            <w:tcW w:type="dxa" w:w="2268"/>
            <w:vAlign w:val="center"/>
            <w:shd w:fill="1F4E79"/>
          </w:tcPr>
          <w:p>
            <w:pPr>
              <w:jc w:val="center"/>
            </w:pPr>
            <w:r/>
            <w:r>
              <w:rPr>
                <w:rFonts w:ascii="Arial" w:hAnsi="Arial" w:eastAsia="Microsoft YaHei"/>
                <w:b/>
                <w:color w:val="FFFFFF"/>
                <w:sz w:val="20"/>
              </w:rPr>
              <w:t>适用环境</w:t>
            </w:r>
          </w:p>
        </w:tc>
        <w:tc>
          <w:tcPr>
            <w:tcW w:type="dxa" w:w="6236"/>
            <w:vAlign w:val="center"/>
            <w:shd w:fill="F7FBFF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Windows 10/11 本机；可选 WSL2；可接入你现有的大模型 API（优先 GPT‑5.4）。</w:t>
            </w:r>
          </w:p>
        </w:tc>
      </w:tr>
      <w:tr>
        <w:tc>
          <w:tcPr>
            <w:tcW w:type="dxa" w:w="2268"/>
            <w:vAlign w:val="center"/>
            <w:shd w:fill="1F4E79"/>
          </w:tcPr>
          <w:p>
            <w:pPr>
              <w:jc w:val="center"/>
            </w:pPr>
            <w:r/>
            <w:r>
              <w:rPr>
                <w:rFonts w:ascii="Arial" w:hAnsi="Arial" w:eastAsia="Microsoft YaHei"/>
                <w:b/>
                <w:color w:val="FFFFFF"/>
                <w:sz w:val="20"/>
              </w:rPr>
              <w:t>文档用途</w:t>
            </w:r>
          </w:p>
        </w:tc>
        <w:tc>
          <w:tcPr>
            <w:tcW w:type="dxa" w:w="6236"/>
            <w:vAlign w:val="center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上传至本地 Codex，作为实施、拆解、开发、联调与验收依据。</w:t>
            </w:r>
          </w:p>
        </w:tc>
      </w:tr>
    </w:tbl>
    <w:p/>
    <w:p>
      <w:pPr>
        <w:pStyle w:val="SmallText"/>
        <w:spacing w:after="100" w:line="300" w:lineRule="auto"/>
      </w:pPr>
      <w:r>
        <w:t>版本：v1.0    日期：2026-03-20</w:t>
      </w:r>
    </w:p>
    <w:p>
      <w:r>
        <w:br w:type="page"/>
      </w:r>
    </w:p>
    <w:p>
      <w:pPr>
        <w:pStyle w:val="Heading1"/>
      </w:pPr>
      <w:r>
        <w:t>一、执行摘要</w:t>
      </w:r>
    </w:p>
    <w:p>
      <w:pPr>
        <w:spacing w:after="100" w:line="300" w:lineRule="auto"/>
      </w:pPr>
      <w:r>
        <w:t>这套方案可行，而且非常适合你当前“网站巡检 + 模拟人工操作 + 自动截图 + 问题发现”的目标。关键思路不是让三套系统彼此替代，而是让它们各自做最擅长的事：OpenClaw 负责任务入口、调度、日志、远程触发、审批与编排；Agent‑S 负责真实桌面 GUI 的分步执行；UI‑TARS 负责补强屏幕元素定位、截图理解与精确鼠标键盘交互。</w:t>
      </w:r>
    </w:p>
    <w:p>
      <w:pPr>
        <w:spacing w:after="60" w:line="288" w:lineRule="auto"/>
        <w:ind w:left="340"/>
      </w:pPr>
      <w:r>
        <w:rPr>
          <w:rFonts w:ascii="Arial" w:hAnsi="Arial" w:eastAsia="Microsoft YaHei"/>
          <w:sz w:val="21"/>
        </w:rPr>
        <w:t>• 推荐主架构：OpenClaw 作为总控平面；Agent‑S 以本地服务方式暴露给 OpenClaw 调用；UI‑TARS 优先以 grounding / 视觉定位能力接入 Agent‑S，而不是直接拿 UI‑TARS Desktop 取代 OpenClaw。</w:t>
      </w:r>
    </w:p>
    <w:p>
      <w:pPr>
        <w:spacing w:after="60" w:line="288" w:lineRule="auto"/>
        <w:ind w:left="340"/>
      </w:pPr>
      <w:r>
        <w:rPr>
          <w:rFonts w:ascii="Arial" w:hAnsi="Arial" w:eastAsia="Microsoft YaHei"/>
          <w:sz w:val="21"/>
        </w:rPr>
        <w:t>• 推荐模型搭配：主推理模型用 GPT‑5.4；GUI grounding 优先采用 UI‑TARS 1.5/7B 一类模型；浏览器场景优先走 OpenClaw 自带 Browser 工具，只有遇到登录、复杂组件、非标准弹窗时再升级为 Agent‑S 桌面操作。</w:t>
      </w:r>
    </w:p>
    <w:p>
      <w:pPr>
        <w:spacing w:after="60" w:line="288" w:lineRule="auto"/>
        <w:ind w:left="340"/>
      </w:pPr>
      <w:r>
        <w:rPr>
          <w:rFonts w:ascii="Arial" w:hAnsi="Arial" w:eastAsia="Microsoft YaHei"/>
          <w:sz w:val="21"/>
        </w:rPr>
        <w:t>• 推荐巡检策略：‘DOM/浏览器优先，GUI 兜底’，避免所有任务都走屏幕点击，提升稳定性、速度和可维护性。</w:t>
      </w:r>
    </w:p>
    <w:p>
      <w:pPr>
        <w:spacing w:after="60" w:line="288" w:lineRule="auto"/>
        <w:ind w:left="340"/>
      </w:pPr>
      <w:r>
        <w:rPr>
          <w:rFonts w:ascii="Arial" w:hAnsi="Arial" w:eastAsia="Microsoft YaHei"/>
          <w:sz w:val="21"/>
        </w:rPr>
        <w:t>• 推荐实施路径：先做最小可用链路（OpenClaw → Agent‑S Service → 截图/点击/结果回传），再做模板化巡检任务，再做异常检测与证据归档。</w:t>
      </w:r>
    </w:p>
    <w:p>
      <w:pPr>
        <w:pStyle w:val="Heading1"/>
      </w:pPr>
      <w:r>
        <w:t>二、为什么不建议单独只用其中一个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436"/>
        <w:gridCol w:w="2436"/>
        <w:gridCol w:w="2436"/>
        <w:gridCol w:w="2436"/>
      </w:tblGrid>
      <w:tr>
        <w:tc>
          <w:tcPr>
            <w:tcW w:type="dxa" w:w="1701"/>
            <w:vAlign w:val="center"/>
            <w:shd w:fill="1F4E79"/>
          </w:tcPr>
          <w:p>
            <w:pPr>
              <w:jc w:val="center"/>
            </w:pPr>
            <w:r/>
            <w:r>
              <w:rPr>
                <w:rFonts w:ascii="Arial" w:hAnsi="Arial" w:eastAsia="Microsoft YaHei"/>
                <w:b/>
                <w:color w:val="FFFFFF"/>
                <w:sz w:val="20"/>
              </w:rPr>
              <w:t>组件</w:t>
            </w:r>
          </w:p>
        </w:tc>
        <w:tc>
          <w:tcPr>
            <w:tcW w:type="dxa" w:w="2381"/>
            <w:vAlign w:val="center"/>
            <w:shd w:fill="1F4E79"/>
          </w:tcPr>
          <w:p>
            <w:pPr>
              <w:jc w:val="center"/>
            </w:pPr>
            <w:r/>
            <w:r>
              <w:rPr>
                <w:rFonts w:ascii="Arial" w:hAnsi="Arial" w:eastAsia="Microsoft YaHei"/>
                <w:b/>
                <w:color w:val="FFFFFF"/>
                <w:sz w:val="20"/>
              </w:rPr>
              <w:t>强项</w:t>
            </w:r>
          </w:p>
        </w:tc>
        <w:tc>
          <w:tcPr>
            <w:tcW w:type="dxa" w:w="2381"/>
            <w:vAlign w:val="center"/>
            <w:shd w:fill="1F4E79"/>
          </w:tcPr>
          <w:p>
            <w:pPr>
              <w:jc w:val="center"/>
            </w:pPr>
            <w:r/>
            <w:r>
              <w:rPr>
                <w:rFonts w:ascii="Arial" w:hAnsi="Arial" w:eastAsia="Microsoft YaHei"/>
                <w:b/>
                <w:color w:val="FFFFFF"/>
                <w:sz w:val="20"/>
              </w:rPr>
              <w:t>弱项</w:t>
            </w:r>
          </w:p>
        </w:tc>
        <w:tc>
          <w:tcPr>
            <w:tcW w:type="dxa" w:w="2381"/>
            <w:vAlign w:val="center"/>
            <w:shd w:fill="1F4E79"/>
          </w:tcPr>
          <w:p>
            <w:pPr>
              <w:jc w:val="center"/>
            </w:pPr>
            <w:r/>
            <w:r>
              <w:rPr>
                <w:rFonts w:ascii="Arial" w:hAnsi="Arial" w:eastAsia="Microsoft YaHei"/>
                <w:b/>
                <w:color w:val="FFFFFF"/>
                <w:sz w:val="20"/>
              </w:rPr>
              <w:t>在本方案中的职责</w:t>
            </w:r>
          </w:p>
        </w:tc>
      </w:tr>
      <w:tr>
        <w:tc>
          <w:tcPr>
            <w:tcW w:type="dxa" w:w="2436"/>
            <w:vAlign w:val="center"/>
            <w:shd w:fill="F3F8FC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OpenClaw</w:t>
            </w:r>
          </w:p>
        </w:tc>
        <w:tc>
          <w:tcPr>
            <w:tcW w:type="dxa" w:w="2436"/>
            <w:vAlign w:val="center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任务编排、节点路由、Browser/exec 工具、会话与审批机制成熟。</w:t>
            </w:r>
          </w:p>
        </w:tc>
        <w:tc>
          <w:tcPr>
            <w:tcW w:type="dxa" w:w="2436"/>
            <w:vAlign w:val="center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不是专为复杂桌面 GUI 长链路成功率做优化。</w:t>
            </w:r>
          </w:p>
        </w:tc>
        <w:tc>
          <w:tcPr>
            <w:tcW w:type="dxa" w:w="2436"/>
            <w:vAlign w:val="center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总控平面、路由层、日志层、审批层。</w:t>
            </w:r>
          </w:p>
        </w:tc>
      </w:tr>
      <w:tr>
        <w:tc>
          <w:tcPr>
            <w:tcW w:type="dxa" w:w="2436"/>
            <w:vAlign w:val="center"/>
            <w:shd w:fill="F3F8FC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Agent‑S</w:t>
            </w:r>
          </w:p>
        </w:tc>
        <w:tc>
          <w:tcPr>
            <w:tcW w:type="dxa" w:w="2436"/>
            <w:vAlign w:val="center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桌面 GUI 规划、看屏幕、点按钮、长流程纠错能力更强。</w:t>
            </w:r>
          </w:p>
        </w:tc>
        <w:tc>
          <w:tcPr>
            <w:tcW w:type="dxa" w:w="2436"/>
            <w:vAlign w:val="center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自身更像能力引擎，不是完整助手平台。</w:t>
            </w:r>
          </w:p>
        </w:tc>
        <w:tc>
          <w:tcPr>
            <w:tcW w:type="dxa" w:w="2436"/>
            <w:vAlign w:val="center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桌面执行内核。</w:t>
            </w:r>
          </w:p>
        </w:tc>
      </w:tr>
      <w:tr>
        <w:tc>
          <w:tcPr>
            <w:tcW w:type="dxa" w:w="2436"/>
            <w:vAlign w:val="center"/>
            <w:shd w:fill="F3F8FC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UI‑TARS Desktop</w:t>
            </w:r>
          </w:p>
        </w:tc>
        <w:tc>
          <w:tcPr>
            <w:tcW w:type="dxa" w:w="2436"/>
            <w:vAlign w:val="center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原生 GUI Agent、视觉识别和精细控制很强，支持本地/远程电脑及浏览器操作。</w:t>
            </w:r>
          </w:p>
        </w:tc>
        <w:tc>
          <w:tcPr>
            <w:tcW w:type="dxa" w:w="2436"/>
            <w:vAlign w:val="center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更偏独立产品，不适合作为你整套系统的唯一中枢。</w:t>
            </w:r>
          </w:p>
        </w:tc>
        <w:tc>
          <w:tcPr>
            <w:tcW w:type="dxa" w:w="2436"/>
            <w:vAlign w:val="center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提供 grounding 思路、模型与参考实现。</w:t>
            </w:r>
          </w:p>
        </w:tc>
      </w:tr>
    </w:tbl>
    <w:p/>
    <w:p>
      <w:pPr>
        <w:pStyle w:val="Heading1"/>
      </w:pPr>
      <w:r>
        <w:t>三、推荐总体架构</w:t>
      </w:r>
    </w:p>
    <w:p>
      <w:pPr>
        <w:spacing w:after="100" w:line="300" w:lineRule="auto"/>
      </w:pPr>
      <w:r>
        <w:t>推荐采用四层结构：</w:t>
      </w:r>
    </w:p>
    <w:p>
      <w:pPr>
        <w:spacing w:after="60" w:line="288" w:lineRule="auto"/>
        <w:ind w:left="340"/>
      </w:pPr>
      <w:r>
        <w:rPr>
          <w:rFonts w:ascii="Arial" w:hAnsi="Arial" w:eastAsia="Microsoft YaHei"/>
          <w:sz w:val="21"/>
        </w:rPr>
        <w:t>• 第 1 层：任务入口层。通过 OpenClaw 的聊天入口、定时任务、手工触发、未来可扩展的消息通道来下达巡检任务。</w:t>
      </w:r>
    </w:p>
    <w:p>
      <w:pPr>
        <w:spacing w:after="60" w:line="288" w:lineRule="auto"/>
        <w:ind w:left="340"/>
      </w:pPr>
      <w:r>
        <w:rPr>
          <w:rFonts w:ascii="Arial" w:hAnsi="Arial" w:eastAsia="Microsoft YaHei"/>
          <w:sz w:val="21"/>
        </w:rPr>
        <w:t>• 第 2 层：编排与策略层。由 OpenClaw 根据任务类型判断应该走 Browser 工具、节点命令、还是 Agent‑S GUI 执行服务。</w:t>
      </w:r>
    </w:p>
    <w:p>
      <w:pPr>
        <w:spacing w:after="60" w:line="288" w:lineRule="auto"/>
        <w:ind w:left="340"/>
      </w:pPr>
      <w:r>
        <w:rPr>
          <w:rFonts w:ascii="Arial" w:hAnsi="Arial" w:eastAsia="Microsoft YaHei"/>
          <w:sz w:val="21"/>
        </w:rPr>
        <w:t>• 第 3 层：执行层。网页标准场景优先由 OpenClaw Browser 执行；桌面/非标准界面/登录复杂流程由 Agent‑S 接管；Agent‑S 内部用 GPT‑5.4 做规划与推理，用 UI‑TARS 相关能力做 grounding。</w:t>
      </w:r>
    </w:p>
    <w:p>
      <w:pPr>
        <w:spacing w:after="60" w:line="288" w:lineRule="auto"/>
        <w:ind w:left="340"/>
      </w:pPr>
      <w:r>
        <w:rPr>
          <w:rFonts w:ascii="Arial" w:hAnsi="Arial" w:eastAsia="Microsoft YaHei"/>
          <w:sz w:val="21"/>
        </w:rPr>
        <w:t>• 第 4 层：证据与归档层。统一保存截图、HTML/DOM 片段、错误日志、差异报告、巡检结果 JSON，供日报、告警和复盘使用。</w:t>
      </w:r>
    </w:p>
    <w:p>
      <w:pPr>
        <w:pStyle w:val="CodeBlock"/>
        <w:spacing w:before="80" w:after="160"/>
        <w:ind w:left="340"/>
      </w:pPr>
      <w:r>
        <w:t>用户 / 定时任务 / OpenClaw 会话</w:t>
        <w:br/>
        <w:t xml:space="preserve">          │</w:t>
        <w:br/>
        <w:t xml:space="preserve">          ▼</w:t>
        <w:br/>
        <w:t xml:space="preserve">   OpenClaw Gateway（总控、编排、审批、日志）</w:t>
        <w:br/>
        <w:t xml:space="preserve">      ├─ Browser Tool：标准网页巡检</w:t>
        <w:br/>
        <w:t xml:space="preserve">      ├─ Exec/Node：文件、脚本、抓取、报告整理</w:t>
        <w:br/>
        <w:t xml:space="preserve">      └─ Agent-S Service：复杂 GUI / 登录 / 异常回退</w:t>
        <w:br/>
        <w:t xml:space="preserve">                           │</w:t>
        <w:br/>
        <w:t xml:space="preserve">                           ├─ 主模型：GPT‑5.4</w:t>
        <w:br/>
        <w:t xml:space="preserve">                           └─ Grounding：UI‑TARS 能力/模型</w:t>
        <w:br/>
        <w:t xml:space="preserve">                                      │</w:t>
        <w:br/>
        <w:t xml:space="preserve">                                      ▼</w:t>
        <w:br/>
        <w:t xml:space="preserve">                        真实浏览器 / 桌面应用 / 截图证据库</w:t>
      </w:r>
    </w:p>
    <w:p>
      <w:pPr>
        <w:pStyle w:val="Heading1"/>
      </w:pPr>
      <w:r>
        <w:t>四、任务路由原则（非常关键）</w:t>
      </w:r>
    </w:p>
    <w:p>
      <w:pPr>
        <w:spacing w:after="100" w:line="300" w:lineRule="auto"/>
      </w:pPr>
      <w:r>
        <w:t>为了让系统既稳又强，必须避免‘所有任务都交给桌面 GUI Agent’。推荐路由优先级如下：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436"/>
        <w:gridCol w:w="2436"/>
        <w:gridCol w:w="2436"/>
        <w:gridCol w:w="2436"/>
      </w:tblGrid>
      <w:tr>
        <w:tc>
          <w:tcPr>
            <w:tcW w:type="dxa" w:w="1247"/>
            <w:vAlign w:val="center"/>
            <w:shd w:fill="1F4E79"/>
          </w:tcPr>
          <w:p>
            <w:pPr>
              <w:jc w:val="center"/>
            </w:pPr>
            <w:r/>
            <w:r>
              <w:rPr>
                <w:rFonts w:ascii="Arial" w:hAnsi="Arial" w:eastAsia="Microsoft YaHei"/>
                <w:b/>
                <w:color w:val="FFFFFF"/>
                <w:sz w:val="20"/>
              </w:rPr>
              <w:t>优先级</w:t>
            </w:r>
          </w:p>
        </w:tc>
        <w:tc>
          <w:tcPr>
            <w:tcW w:type="dxa" w:w="2268"/>
            <w:vAlign w:val="center"/>
            <w:shd w:fill="1F4E79"/>
          </w:tcPr>
          <w:p>
            <w:pPr>
              <w:jc w:val="center"/>
            </w:pPr>
            <w:r/>
            <w:r>
              <w:rPr>
                <w:rFonts w:ascii="Arial" w:hAnsi="Arial" w:eastAsia="Microsoft YaHei"/>
                <w:b/>
                <w:color w:val="FFFFFF"/>
                <w:sz w:val="20"/>
              </w:rPr>
              <w:t>任务类型</w:t>
            </w:r>
          </w:p>
        </w:tc>
        <w:tc>
          <w:tcPr>
            <w:tcW w:type="dxa" w:w="2551"/>
            <w:vAlign w:val="center"/>
            <w:shd w:fill="1F4E79"/>
          </w:tcPr>
          <w:p>
            <w:pPr>
              <w:jc w:val="center"/>
            </w:pPr>
            <w:r/>
            <w:r>
              <w:rPr>
                <w:rFonts w:ascii="Arial" w:hAnsi="Arial" w:eastAsia="Microsoft YaHei"/>
                <w:b/>
                <w:color w:val="FFFFFF"/>
                <w:sz w:val="20"/>
              </w:rPr>
              <w:t>推荐执行器</w:t>
            </w:r>
          </w:p>
        </w:tc>
        <w:tc>
          <w:tcPr>
            <w:tcW w:type="dxa" w:w="2721"/>
            <w:vAlign w:val="center"/>
            <w:shd w:fill="1F4E79"/>
          </w:tcPr>
          <w:p>
            <w:pPr>
              <w:jc w:val="center"/>
            </w:pPr>
            <w:r/>
            <w:r>
              <w:rPr>
                <w:rFonts w:ascii="Arial" w:hAnsi="Arial" w:eastAsia="Microsoft YaHei"/>
                <w:b/>
                <w:color w:val="FFFFFF"/>
                <w:sz w:val="20"/>
              </w:rPr>
              <w:t>说明</w:t>
            </w:r>
          </w:p>
        </w:tc>
      </w:tr>
      <w:tr>
        <w:tc>
          <w:tcPr>
            <w:tcW w:type="dxa" w:w="2436"/>
            <w:vAlign w:val="center"/>
            <w:shd w:fill="FAFCFE"/>
          </w:tcPr>
          <w:p>
            <w:pPr>
              <w:jc w:val="center"/>
            </w:pPr>
            <w:r/>
            <w:r>
              <w:rPr>
                <w:rFonts w:ascii="Arial" w:hAnsi="Arial" w:eastAsia="Microsoft YaHei"/>
                <w:b w:val="0"/>
                <w:sz w:val="20"/>
              </w:rPr>
              <w:t>P1</w:t>
            </w:r>
          </w:p>
        </w:tc>
        <w:tc>
          <w:tcPr>
            <w:tcW w:type="dxa" w:w="2436"/>
            <w:vAlign w:val="center"/>
            <w:shd w:fill="FAFCFE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可直接浏览器自动化的网页检查</w:t>
            </w:r>
          </w:p>
        </w:tc>
        <w:tc>
          <w:tcPr>
            <w:tcW w:type="dxa" w:w="2436"/>
            <w:vAlign w:val="center"/>
            <w:shd w:fill="FAFCFE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OpenClaw Browser</w:t>
            </w:r>
          </w:p>
        </w:tc>
        <w:tc>
          <w:tcPr>
            <w:tcW w:type="dxa" w:w="2436"/>
            <w:vAlign w:val="center"/>
            <w:shd w:fill="FAFCFE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更稳定，可拿到 DOM/URL/标签页上下文，适合打开页面、搜索、按钮点击、文本断言。</w:t>
            </w:r>
          </w:p>
        </w:tc>
      </w:tr>
      <w:tr>
        <w:tc>
          <w:tcPr>
            <w:tcW w:type="dxa" w:w="2436"/>
            <w:vAlign w:val="center"/>
          </w:tcPr>
          <w:p>
            <w:pPr>
              <w:jc w:val="center"/>
            </w:pPr>
            <w:r/>
            <w:r>
              <w:rPr>
                <w:rFonts w:ascii="Arial" w:hAnsi="Arial" w:eastAsia="Microsoft YaHei"/>
                <w:b w:val="0"/>
                <w:sz w:val="20"/>
              </w:rPr>
              <w:t>P2</w:t>
            </w:r>
          </w:p>
        </w:tc>
        <w:tc>
          <w:tcPr>
            <w:tcW w:type="dxa" w:w="2436"/>
            <w:vAlign w:val="center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需抓取日志、比对文件、调用本地脚本</w:t>
            </w:r>
          </w:p>
        </w:tc>
        <w:tc>
          <w:tcPr>
            <w:tcW w:type="dxa" w:w="2436"/>
            <w:vAlign w:val="center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OpenClaw Exec/Node</w:t>
            </w:r>
          </w:p>
        </w:tc>
        <w:tc>
          <w:tcPr>
            <w:tcW w:type="dxa" w:w="2436"/>
            <w:vAlign w:val="center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适合证据整理、JSON 生成、差异报告、文件归档。</w:t>
            </w:r>
          </w:p>
        </w:tc>
      </w:tr>
      <w:tr>
        <w:tc>
          <w:tcPr>
            <w:tcW w:type="dxa" w:w="2436"/>
            <w:vAlign w:val="center"/>
            <w:shd w:fill="FAFCFE"/>
          </w:tcPr>
          <w:p>
            <w:pPr>
              <w:jc w:val="center"/>
            </w:pPr>
            <w:r/>
            <w:r>
              <w:rPr>
                <w:rFonts w:ascii="Arial" w:hAnsi="Arial" w:eastAsia="Microsoft YaHei"/>
                <w:b w:val="0"/>
                <w:sz w:val="20"/>
              </w:rPr>
              <w:t>P3</w:t>
            </w:r>
          </w:p>
        </w:tc>
        <w:tc>
          <w:tcPr>
            <w:tcW w:type="dxa" w:w="2436"/>
            <w:vAlign w:val="center"/>
            <w:shd w:fill="FAFCFE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网页上有复杂验证码、富前端组件、非标准控件</w:t>
            </w:r>
          </w:p>
        </w:tc>
        <w:tc>
          <w:tcPr>
            <w:tcW w:type="dxa" w:w="2436"/>
            <w:vAlign w:val="center"/>
            <w:shd w:fill="FAFCFE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Agent‑S</w:t>
            </w:r>
          </w:p>
        </w:tc>
        <w:tc>
          <w:tcPr>
            <w:tcW w:type="dxa" w:w="2436"/>
            <w:vAlign w:val="center"/>
            <w:shd w:fill="FAFCFE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让 Agent‑S 像人一样处理界面。</w:t>
            </w:r>
          </w:p>
        </w:tc>
      </w:tr>
      <w:tr>
        <w:tc>
          <w:tcPr>
            <w:tcW w:type="dxa" w:w="2436"/>
            <w:vAlign w:val="center"/>
          </w:tcPr>
          <w:p>
            <w:pPr>
              <w:jc w:val="center"/>
            </w:pPr>
            <w:r/>
            <w:r>
              <w:rPr>
                <w:rFonts w:ascii="Arial" w:hAnsi="Arial" w:eastAsia="Microsoft YaHei"/>
                <w:b w:val="0"/>
                <w:sz w:val="20"/>
              </w:rPr>
              <w:t>P4</w:t>
            </w:r>
          </w:p>
        </w:tc>
        <w:tc>
          <w:tcPr>
            <w:tcW w:type="dxa" w:w="2436"/>
            <w:vAlign w:val="center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桌面客户端、系统弹窗、文件上传、设置项调整</w:t>
            </w:r>
          </w:p>
        </w:tc>
        <w:tc>
          <w:tcPr>
            <w:tcW w:type="dxa" w:w="2436"/>
            <w:vAlign w:val="center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Agent‑S</w:t>
            </w:r>
          </w:p>
        </w:tc>
        <w:tc>
          <w:tcPr>
            <w:tcW w:type="dxa" w:w="2436"/>
            <w:vAlign w:val="center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这是 Agent‑S 的强项。</w:t>
            </w:r>
          </w:p>
        </w:tc>
      </w:tr>
      <w:tr>
        <w:tc>
          <w:tcPr>
            <w:tcW w:type="dxa" w:w="2436"/>
            <w:vAlign w:val="center"/>
            <w:shd w:fill="FAFCFE"/>
          </w:tcPr>
          <w:p>
            <w:pPr>
              <w:jc w:val="center"/>
            </w:pPr>
            <w:r/>
            <w:r>
              <w:rPr>
                <w:rFonts w:ascii="Arial" w:hAnsi="Arial" w:eastAsia="Microsoft YaHei"/>
                <w:b w:val="0"/>
                <w:sz w:val="20"/>
              </w:rPr>
              <w:t>P5</w:t>
            </w:r>
          </w:p>
        </w:tc>
        <w:tc>
          <w:tcPr>
            <w:tcW w:type="dxa" w:w="2436"/>
            <w:vAlign w:val="center"/>
            <w:shd w:fill="FAFCFE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细粒度坐标定位、多元素混合识别</w:t>
            </w:r>
          </w:p>
        </w:tc>
        <w:tc>
          <w:tcPr>
            <w:tcW w:type="dxa" w:w="2436"/>
            <w:vAlign w:val="center"/>
            <w:shd w:fill="FAFCFE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Agent‑S + UI‑TARS grounding</w:t>
            </w:r>
          </w:p>
        </w:tc>
        <w:tc>
          <w:tcPr>
            <w:tcW w:type="dxa" w:w="2436"/>
            <w:vAlign w:val="center"/>
            <w:shd w:fill="FAFCFE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作为 P3/P4 的定位增强层。</w:t>
            </w:r>
          </w:p>
        </w:tc>
      </w:tr>
    </w:tbl>
    <w:p/>
    <w:p>
      <w:pPr>
        <w:pStyle w:val="Heading1"/>
      </w:pPr>
      <w:r>
        <w:t>五、网站巡检场景的落地流程</w:t>
      </w:r>
    </w:p>
    <w:p>
      <w:pPr>
        <w:spacing w:after="100" w:line="300" w:lineRule="auto"/>
      </w:pPr>
      <w:r>
        <w:t>以下流程以‘打开若干站点 → 登录/搜索 → 截图取证 → 发现异常 → 生成结果’为例。</w:t>
      </w:r>
    </w:p>
    <w:p>
      <w:pPr>
        <w:spacing w:after="100" w:line="300" w:lineRule="auto"/>
      </w:pPr>
      <w:r>
        <w:t>1. OpenClaw 接收巡检任务（手动、定时、外部触发均可），生成本次 run_id。</w:t>
      </w:r>
    </w:p>
    <w:p>
      <w:pPr>
        <w:spacing w:after="100" w:line="300" w:lineRule="auto"/>
      </w:pPr>
      <w:r>
        <w:t>2. 读取任务模板：目标站点、登录方式、检查点、截图点、期望文本、失败阈值、超时阈值。</w:t>
      </w:r>
    </w:p>
    <w:p>
      <w:pPr>
        <w:spacing w:after="100" w:line="300" w:lineRule="auto"/>
      </w:pPr>
      <w:r>
        <w:t>3. 路由器判断：能否完全用 Browser 工具完成；如果不行，则切换或升级到 Agent‑S 服务。</w:t>
      </w:r>
    </w:p>
    <w:p>
      <w:pPr>
        <w:spacing w:after="100" w:line="300" w:lineRule="auto"/>
      </w:pPr>
      <w:r>
        <w:t>4. 执行检查：打开页面、输入账号、点击菜单、进入目标页面、执行搜索或表单操作。</w:t>
      </w:r>
    </w:p>
    <w:p>
      <w:pPr>
        <w:spacing w:after="100" w:line="300" w:lineRule="auto"/>
      </w:pPr>
      <w:r>
        <w:t>5. 在关键节点统一落盘证据：原图、裁剪图、页面 URL、时间戳、步骤号、操作前后状态。</w:t>
      </w:r>
    </w:p>
    <w:p>
      <w:pPr>
        <w:spacing w:after="100" w:line="300" w:lineRule="auto"/>
      </w:pPr>
      <w:r>
        <w:t>6. 异常判定：页面打不开、元素找不到、文本缺失、结果数异常、按钮灰掉、接口报错、白屏、登录失败等。</w:t>
      </w:r>
    </w:p>
    <w:p>
      <w:pPr>
        <w:spacing w:after="100" w:line="300" w:lineRule="auto"/>
      </w:pPr>
      <w:r>
        <w:t>7. 结果输出：结构化 JSON + Markdown/Word 报告素材 + 告警摘要。</w:t>
      </w:r>
    </w:p>
    <w:p>
      <w:pPr>
        <w:spacing w:after="100" w:line="300" w:lineRule="auto"/>
      </w:pPr>
      <w:r>
        <w:t>8. 失败回退：首次失败重试；仍失败则切换备用路径（Browser ↔ Agent‑S）；仍失败则人工接管。</w:t>
      </w:r>
    </w:p>
    <w:p>
      <w:pPr>
        <w:pStyle w:val="Heading1"/>
      </w:pPr>
      <w:r>
        <w:t>六、核心实施方案（推荐 Codex 按此实现）</w:t>
      </w:r>
    </w:p>
    <w:p>
      <w:pPr>
        <w:spacing w:after="100" w:line="300" w:lineRule="auto"/>
      </w:pPr>
      <w:r>
        <w:t>建议分成六个可交付模块，每个模块都能独立验收。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949"/>
        <w:gridCol w:w="1949"/>
        <w:gridCol w:w="1949"/>
        <w:gridCol w:w="1949"/>
        <w:gridCol w:w="1949"/>
      </w:tblGrid>
      <w:tr>
        <w:tc>
          <w:tcPr>
            <w:tcW w:type="dxa" w:w="680"/>
            <w:vAlign w:val="center"/>
            <w:shd w:fill="1F4E79"/>
          </w:tcPr>
          <w:p>
            <w:pPr>
              <w:jc w:val="center"/>
            </w:pPr>
            <w:r/>
            <w:r>
              <w:rPr>
                <w:rFonts w:ascii="Arial" w:hAnsi="Arial" w:eastAsia="Microsoft YaHei"/>
                <w:b/>
                <w:color w:val="FFFFFF"/>
                <w:sz w:val="20"/>
              </w:rPr>
              <w:t>阶段</w:t>
            </w:r>
          </w:p>
        </w:tc>
        <w:tc>
          <w:tcPr>
            <w:tcW w:type="dxa" w:w="1928"/>
            <w:vAlign w:val="center"/>
            <w:shd w:fill="1F4E79"/>
          </w:tcPr>
          <w:p>
            <w:pPr>
              <w:jc w:val="center"/>
            </w:pPr>
            <w:r/>
            <w:r>
              <w:rPr>
                <w:rFonts w:ascii="Arial" w:hAnsi="Arial" w:eastAsia="Microsoft YaHei"/>
                <w:b/>
                <w:color w:val="FFFFFF"/>
                <w:sz w:val="20"/>
              </w:rPr>
              <w:t>模块</w:t>
            </w:r>
          </w:p>
        </w:tc>
        <w:tc>
          <w:tcPr>
            <w:tcW w:type="dxa" w:w="2835"/>
            <w:vAlign w:val="center"/>
            <w:shd w:fill="1F4E79"/>
          </w:tcPr>
          <w:p>
            <w:pPr>
              <w:jc w:val="center"/>
            </w:pPr>
            <w:r/>
            <w:r>
              <w:rPr>
                <w:rFonts w:ascii="Arial" w:hAnsi="Arial" w:eastAsia="Microsoft YaHei"/>
                <w:b/>
                <w:color w:val="FFFFFF"/>
                <w:sz w:val="20"/>
              </w:rPr>
              <w:t>目标</w:t>
            </w:r>
          </w:p>
        </w:tc>
        <w:tc>
          <w:tcPr>
            <w:tcW w:type="dxa" w:w="1984"/>
            <w:vAlign w:val="center"/>
            <w:shd w:fill="1F4E79"/>
          </w:tcPr>
          <w:p>
            <w:pPr>
              <w:jc w:val="center"/>
            </w:pPr>
            <w:r/>
            <w:r>
              <w:rPr>
                <w:rFonts w:ascii="Arial" w:hAnsi="Arial" w:eastAsia="Microsoft YaHei"/>
                <w:b/>
                <w:color w:val="FFFFFF"/>
                <w:sz w:val="20"/>
              </w:rPr>
              <w:t>输出物</w:t>
            </w:r>
          </w:p>
        </w:tc>
        <w:tc>
          <w:tcPr>
            <w:tcW w:type="dxa" w:w="1701"/>
            <w:vAlign w:val="center"/>
            <w:shd w:fill="1F4E79"/>
          </w:tcPr>
          <w:p>
            <w:pPr>
              <w:jc w:val="center"/>
            </w:pPr>
            <w:r/>
            <w:r>
              <w:rPr>
                <w:rFonts w:ascii="Arial" w:hAnsi="Arial" w:eastAsia="Microsoft YaHei"/>
                <w:b/>
                <w:color w:val="FFFFFF"/>
                <w:sz w:val="20"/>
              </w:rPr>
              <w:t>验收口径</w:t>
            </w:r>
          </w:p>
        </w:tc>
      </w:tr>
      <w:tr>
        <w:tc>
          <w:tcPr>
            <w:tcW w:type="dxa" w:w="1949"/>
            <w:vAlign w:val="center"/>
            <w:shd w:fill="FAFCFE"/>
          </w:tcPr>
          <w:p>
            <w:pPr>
              <w:jc w:val="center"/>
            </w:pPr>
            <w:r/>
            <w:r>
              <w:rPr>
                <w:rFonts w:ascii="Arial" w:hAnsi="Arial" w:eastAsia="Microsoft YaHei"/>
                <w:b w:val="0"/>
                <w:sz w:val="20"/>
              </w:rPr>
              <w:t>1</w:t>
            </w:r>
          </w:p>
        </w:tc>
        <w:tc>
          <w:tcPr>
            <w:tcW w:type="dxa" w:w="1949"/>
            <w:vAlign w:val="center"/>
            <w:shd w:fill="FAFCFE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Agent‑S Service 封装</w:t>
            </w:r>
          </w:p>
        </w:tc>
        <w:tc>
          <w:tcPr>
            <w:tcW w:type="dxa" w:w="1949"/>
            <w:vAlign w:val="center"/>
            <w:shd w:fill="FAFCFE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把 Agent‑S 包成可被 OpenClaw 调用的本地服务。</w:t>
            </w:r>
          </w:p>
        </w:tc>
        <w:tc>
          <w:tcPr>
            <w:tcW w:type="dxa" w:w="1949"/>
            <w:vAlign w:val="center"/>
            <w:shd w:fill="FAFCFE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HTTP/CLI 服务、日志目录、截图目录</w:t>
            </w:r>
          </w:p>
        </w:tc>
        <w:tc>
          <w:tcPr>
            <w:tcW w:type="dxa" w:w="1949"/>
            <w:vAlign w:val="center"/>
            <w:shd w:fill="FAFCFE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可接收任务并返回步骤结果。</w:t>
            </w:r>
          </w:p>
        </w:tc>
      </w:tr>
      <w:tr>
        <w:tc>
          <w:tcPr>
            <w:tcW w:type="dxa" w:w="1949"/>
            <w:vAlign w:val="center"/>
          </w:tcPr>
          <w:p>
            <w:pPr>
              <w:jc w:val="center"/>
            </w:pPr>
            <w:r/>
            <w:r>
              <w:rPr>
                <w:rFonts w:ascii="Arial" w:hAnsi="Arial" w:eastAsia="Microsoft YaHei"/>
                <w:b w:val="0"/>
                <w:sz w:val="20"/>
              </w:rPr>
              <w:t>2</w:t>
            </w:r>
          </w:p>
        </w:tc>
        <w:tc>
          <w:tcPr>
            <w:tcW w:type="dxa" w:w="1949"/>
            <w:vAlign w:val="center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OpenClaw 工具适配</w:t>
            </w:r>
          </w:p>
        </w:tc>
        <w:tc>
          <w:tcPr>
            <w:tcW w:type="dxa" w:w="1949"/>
            <w:vAlign w:val="center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让 OpenClaw 能按任务调用 Agent‑S 服务。</w:t>
            </w:r>
          </w:p>
        </w:tc>
        <w:tc>
          <w:tcPr>
            <w:tcW w:type="dxa" w:w="1949"/>
            <w:vAlign w:val="center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适配器脚本 / plugin / wrapper</w:t>
            </w:r>
          </w:p>
        </w:tc>
        <w:tc>
          <w:tcPr>
            <w:tcW w:type="dxa" w:w="1949"/>
            <w:vAlign w:val="center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OpenClaw 能触发一次 GUI 任务。</w:t>
            </w:r>
          </w:p>
        </w:tc>
      </w:tr>
      <w:tr>
        <w:tc>
          <w:tcPr>
            <w:tcW w:type="dxa" w:w="1949"/>
            <w:vAlign w:val="center"/>
            <w:shd w:fill="FAFCFE"/>
          </w:tcPr>
          <w:p>
            <w:pPr>
              <w:jc w:val="center"/>
            </w:pPr>
            <w:r/>
            <w:r>
              <w:rPr>
                <w:rFonts w:ascii="Arial" w:hAnsi="Arial" w:eastAsia="Microsoft YaHei"/>
                <w:b w:val="0"/>
                <w:sz w:val="20"/>
              </w:rPr>
              <w:t>3</w:t>
            </w:r>
          </w:p>
        </w:tc>
        <w:tc>
          <w:tcPr>
            <w:tcW w:type="dxa" w:w="1949"/>
            <w:vAlign w:val="center"/>
            <w:shd w:fill="FAFCFE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巡检模板引擎</w:t>
            </w:r>
          </w:p>
        </w:tc>
        <w:tc>
          <w:tcPr>
            <w:tcW w:type="dxa" w:w="1949"/>
            <w:vAlign w:val="center"/>
            <w:shd w:fill="FAFCFE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把站点巡检步骤参数化。</w:t>
            </w:r>
          </w:p>
        </w:tc>
        <w:tc>
          <w:tcPr>
            <w:tcW w:type="dxa" w:w="1949"/>
            <w:vAlign w:val="center"/>
            <w:shd w:fill="FAFCFE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site_profile/*.json</w:t>
            </w:r>
          </w:p>
        </w:tc>
        <w:tc>
          <w:tcPr>
            <w:tcW w:type="dxa" w:w="1949"/>
            <w:vAlign w:val="center"/>
            <w:shd w:fill="FAFCFE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同类站点可复用模板。</w:t>
            </w:r>
          </w:p>
        </w:tc>
      </w:tr>
      <w:tr>
        <w:tc>
          <w:tcPr>
            <w:tcW w:type="dxa" w:w="1949"/>
            <w:vAlign w:val="center"/>
          </w:tcPr>
          <w:p>
            <w:pPr>
              <w:jc w:val="center"/>
            </w:pPr>
            <w:r/>
            <w:r>
              <w:rPr>
                <w:rFonts w:ascii="Arial" w:hAnsi="Arial" w:eastAsia="Microsoft YaHei"/>
                <w:b w:val="0"/>
                <w:sz w:val="20"/>
              </w:rPr>
              <w:t>4</w:t>
            </w:r>
          </w:p>
        </w:tc>
        <w:tc>
          <w:tcPr>
            <w:tcW w:type="dxa" w:w="1949"/>
            <w:vAlign w:val="center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证据归档与结果模型</w:t>
            </w:r>
          </w:p>
        </w:tc>
        <w:tc>
          <w:tcPr>
            <w:tcW w:type="dxa" w:w="1949"/>
            <w:vAlign w:val="center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统一截图命名、结果 JSON、异常分类。</w:t>
            </w:r>
          </w:p>
        </w:tc>
        <w:tc>
          <w:tcPr>
            <w:tcW w:type="dxa" w:w="1949"/>
            <w:vAlign w:val="center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run.json、screenshots/</w:t>
            </w:r>
          </w:p>
        </w:tc>
        <w:tc>
          <w:tcPr>
            <w:tcW w:type="dxa" w:w="1949"/>
            <w:vAlign w:val="center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一次巡检可完整复盘。</w:t>
            </w:r>
          </w:p>
        </w:tc>
      </w:tr>
      <w:tr>
        <w:tc>
          <w:tcPr>
            <w:tcW w:type="dxa" w:w="1949"/>
            <w:vAlign w:val="center"/>
            <w:shd w:fill="FAFCFE"/>
          </w:tcPr>
          <w:p>
            <w:pPr>
              <w:jc w:val="center"/>
            </w:pPr>
            <w:r/>
            <w:r>
              <w:rPr>
                <w:rFonts w:ascii="Arial" w:hAnsi="Arial" w:eastAsia="Microsoft YaHei"/>
                <w:b w:val="0"/>
                <w:sz w:val="20"/>
              </w:rPr>
              <w:t>5</w:t>
            </w:r>
          </w:p>
        </w:tc>
        <w:tc>
          <w:tcPr>
            <w:tcW w:type="dxa" w:w="1949"/>
            <w:vAlign w:val="center"/>
            <w:shd w:fill="FAFCFE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路由与回退策略</w:t>
            </w:r>
          </w:p>
        </w:tc>
        <w:tc>
          <w:tcPr>
            <w:tcW w:type="dxa" w:w="1949"/>
            <w:vAlign w:val="center"/>
            <w:shd w:fill="FAFCFE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实现 Browser 优先，Agent‑S 兜底。</w:t>
            </w:r>
          </w:p>
        </w:tc>
        <w:tc>
          <w:tcPr>
            <w:tcW w:type="dxa" w:w="1949"/>
            <w:vAlign w:val="center"/>
            <w:shd w:fill="FAFCFE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router.py / policy.json</w:t>
            </w:r>
          </w:p>
        </w:tc>
        <w:tc>
          <w:tcPr>
            <w:tcW w:type="dxa" w:w="1949"/>
            <w:vAlign w:val="center"/>
            <w:shd w:fill="FAFCFE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复杂场景能自动切换执行器。</w:t>
            </w:r>
          </w:p>
        </w:tc>
      </w:tr>
      <w:tr>
        <w:tc>
          <w:tcPr>
            <w:tcW w:type="dxa" w:w="1949"/>
            <w:vAlign w:val="center"/>
          </w:tcPr>
          <w:p>
            <w:pPr>
              <w:jc w:val="center"/>
            </w:pPr>
            <w:r/>
            <w:r>
              <w:rPr>
                <w:rFonts w:ascii="Arial" w:hAnsi="Arial" w:eastAsia="Microsoft YaHei"/>
                <w:b w:val="0"/>
                <w:sz w:val="20"/>
              </w:rPr>
              <w:t>6</w:t>
            </w:r>
          </w:p>
        </w:tc>
        <w:tc>
          <w:tcPr>
            <w:tcW w:type="dxa" w:w="1949"/>
            <w:vAlign w:val="center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告警与日报输出</w:t>
            </w:r>
          </w:p>
        </w:tc>
        <w:tc>
          <w:tcPr>
            <w:tcW w:type="dxa" w:w="1949"/>
            <w:vAlign w:val="center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把巡检结果转成可读报告。</w:t>
            </w:r>
          </w:p>
        </w:tc>
        <w:tc>
          <w:tcPr>
            <w:tcW w:type="dxa" w:w="1949"/>
            <w:vAlign w:val="center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日报 md/docx、异常摘要</w:t>
            </w:r>
          </w:p>
        </w:tc>
        <w:tc>
          <w:tcPr>
            <w:tcW w:type="dxa" w:w="1949"/>
            <w:vAlign w:val="center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人工只需看摘要即可。</w:t>
            </w:r>
          </w:p>
        </w:tc>
      </w:tr>
    </w:tbl>
    <w:p/>
    <w:p>
      <w:r>
        <w:br w:type="page"/>
      </w:r>
    </w:p>
    <w:p>
      <w:pPr>
        <w:pStyle w:val="Heading1"/>
      </w:pPr>
      <w:r>
        <w:t>七、Agent‑S 与 UI‑TARS 的结合方式</w:t>
      </w:r>
    </w:p>
    <w:p>
      <w:pPr>
        <w:spacing w:after="100" w:line="300" w:lineRule="auto"/>
      </w:pPr>
      <w:r>
        <w:t>这里建议采用‘稳妥版优先、进阶版选做’两层方案。</w:t>
      </w:r>
    </w:p>
    <w:p>
      <w:pPr>
        <w:pStyle w:val="Heading2"/>
      </w:pPr>
      <w:r>
        <w:t>7.1 稳妥版（推荐先做）</w:t>
      </w:r>
    </w:p>
    <w:p>
      <w:pPr>
        <w:spacing w:after="60" w:line="288" w:lineRule="auto"/>
        <w:ind w:left="340"/>
      </w:pPr>
      <w:r>
        <w:rPr>
          <w:rFonts w:ascii="Arial" w:hAnsi="Arial" w:eastAsia="Microsoft YaHei"/>
          <w:sz w:val="21"/>
        </w:rPr>
        <w:t>• 主推理模型：GPT‑5.4。</w:t>
      </w:r>
    </w:p>
    <w:p>
      <w:pPr>
        <w:spacing w:after="60" w:line="288" w:lineRule="auto"/>
        <w:ind w:left="340"/>
      </w:pPr>
      <w:r>
        <w:rPr>
          <w:rFonts w:ascii="Arial" w:hAnsi="Arial" w:eastAsia="Microsoft YaHei"/>
          <w:sz w:val="21"/>
        </w:rPr>
        <w:t>• 桌面执行引擎：Agent‑S。</w:t>
      </w:r>
    </w:p>
    <w:p>
      <w:pPr>
        <w:spacing w:after="60" w:line="288" w:lineRule="auto"/>
        <w:ind w:left="340"/>
      </w:pPr>
      <w:r>
        <w:rPr>
          <w:rFonts w:ascii="Arial" w:hAnsi="Arial" w:eastAsia="Microsoft YaHei"/>
          <w:sz w:val="21"/>
        </w:rPr>
        <w:t>• GUI grounding：优先接入 UI‑TARS 相关模型/端点作为定位层。</w:t>
      </w:r>
    </w:p>
    <w:p>
      <w:pPr>
        <w:spacing w:after="60" w:line="288" w:lineRule="auto"/>
        <w:ind w:left="340"/>
      </w:pPr>
      <w:r>
        <w:rPr>
          <w:rFonts w:ascii="Arial" w:hAnsi="Arial" w:eastAsia="Microsoft YaHei"/>
          <w:sz w:val="21"/>
        </w:rPr>
        <w:t>• OpenClaw 只调用你封装后的 Agent‑S Service，不直接去驱动 UI‑TARS Desktop 桌面应用。</w:t>
      </w:r>
    </w:p>
    <w:p>
      <w:pPr>
        <w:spacing w:after="100" w:line="300" w:lineRule="auto"/>
      </w:pPr>
      <w:r>
        <w:t>优点：实现路径最清晰，职责边界清楚，后续维护成本最低。</w:t>
      </w:r>
    </w:p>
    <w:p>
      <w:pPr>
        <w:pStyle w:val="Heading2"/>
      </w:pPr>
      <w:r>
        <w:t>7.2 进阶版（后续再做）</w:t>
      </w:r>
    </w:p>
    <w:p>
      <w:pPr>
        <w:spacing w:after="60" w:line="288" w:lineRule="auto"/>
        <w:ind w:left="340"/>
      </w:pPr>
      <w:r>
        <w:rPr>
          <w:rFonts w:ascii="Arial" w:hAnsi="Arial" w:eastAsia="Microsoft YaHei"/>
          <w:sz w:val="21"/>
        </w:rPr>
        <w:t>• 研究 UI‑TARS Desktop 的本地/远程 computer operator 与 browser operator 机制。</w:t>
      </w:r>
    </w:p>
    <w:p>
      <w:pPr>
        <w:spacing w:after="60" w:line="288" w:lineRule="auto"/>
        <w:ind w:left="340"/>
      </w:pPr>
      <w:r>
        <w:rPr>
          <w:rFonts w:ascii="Arial" w:hAnsi="Arial" w:eastAsia="Microsoft YaHei"/>
          <w:sz w:val="21"/>
        </w:rPr>
        <w:t>• 提炼其中适合借鉴的操作协议、观察-动作事件流、浏览器/桌面双执行策略。</w:t>
      </w:r>
    </w:p>
    <w:p>
      <w:pPr>
        <w:spacing w:after="60" w:line="288" w:lineRule="auto"/>
        <w:ind w:left="340"/>
      </w:pPr>
      <w:r>
        <w:rPr>
          <w:rFonts w:ascii="Arial" w:hAnsi="Arial" w:eastAsia="Microsoft YaHei"/>
          <w:sz w:val="21"/>
        </w:rPr>
        <w:t>• 在 Agent‑S Service 外再补一层‘执行候选器’，根据任务选择 Agent‑S 或 UI‑TARS 风格执行器。</w:t>
      </w:r>
    </w:p>
    <w:p>
      <w:pPr>
        <w:spacing w:after="100" w:line="300" w:lineRule="auto"/>
      </w:pPr>
      <w:r>
        <w:t>注意：不建议一开始就把 UI‑TARS Desktop 整个产品直接揉进 OpenClaw。这样会把编排、模型、UI、执行和状态机全部耦合在一起，实施难度明显变大。</w:t>
      </w:r>
    </w:p>
    <w:p>
      <w:pPr>
        <w:pStyle w:val="Heading2"/>
      </w:pPr>
      <w:r>
        <w:t>7.3 推荐组合参数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2268"/>
            <w:vAlign w:val="center"/>
            <w:shd w:fill="1F4E79"/>
          </w:tcPr>
          <w:p>
            <w:pPr>
              <w:jc w:val="center"/>
            </w:pPr>
            <w:r/>
            <w:r>
              <w:rPr>
                <w:rFonts w:ascii="Arial" w:hAnsi="Arial" w:eastAsia="Microsoft YaHei"/>
                <w:b/>
                <w:color w:val="FFFFFF"/>
                <w:sz w:val="20"/>
              </w:rPr>
              <w:t>层次</w:t>
            </w:r>
          </w:p>
        </w:tc>
        <w:tc>
          <w:tcPr>
            <w:tcW w:type="dxa" w:w="3005"/>
            <w:vAlign w:val="center"/>
            <w:shd w:fill="1F4E79"/>
          </w:tcPr>
          <w:p>
            <w:pPr>
              <w:jc w:val="center"/>
            </w:pPr>
            <w:r/>
            <w:r>
              <w:rPr>
                <w:rFonts w:ascii="Arial" w:hAnsi="Arial" w:eastAsia="Microsoft YaHei"/>
                <w:b/>
                <w:color w:val="FFFFFF"/>
                <w:sz w:val="20"/>
              </w:rPr>
              <w:t>推荐</w:t>
            </w:r>
          </w:p>
        </w:tc>
        <w:tc>
          <w:tcPr>
            <w:tcW w:type="dxa" w:w="3515"/>
            <w:vAlign w:val="center"/>
            <w:shd w:fill="1F4E79"/>
          </w:tcPr>
          <w:p>
            <w:pPr>
              <w:jc w:val="center"/>
            </w:pPr>
            <w:r/>
            <w:r>
              <w:rPr>
                <w:rFonts w:ascii="Arial" w:hAnsi="Arial" w:eastAsia="Microsoft YaHei"/>
                <w:b/>
                <w:color w:val="FFFFFF"/>
                <w:sz w:val="20"/>
              </w:rPr>
              <w:t>说明</w:t>
            </w:r>
          </w:p>
        </w:tc>
      </w:tr>
      <w:tr>
        <w:tc>
          <w:tcPr>
            <w:tcW w:type="dxa" w:w="3249"/>
            <w:vAlign w:val="center"/>
            <w:shd w:fill="FAFCFE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主模型</w:t>
            </w:r>
          </w:p>
        </w:tc>
        <w:tc>
          <w:tcPr>
            <w:tcW w:type="dxa" w:w="3249"/>
            <w:vAlign w:val="center"/>
            <w:shd w:fill="FAFCFE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GPT‑5.4</w:t>
            </w:r>
          </w:p>
        </w:tc>
        <w:tc>
          <w:tcPr>
            <w:tcW w:type="dxa" w:w="3249"/>
            <w:vAlign w:val="center"/>
            <w:shd w:fill="FAFCFE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用于任务理解、计划拆解、异常解释、结果总结。</w:t>
            </w:r>
          </w:p>
        </w:tc>
      </w:tr>
      <w:tr>
        <w:tc>
          <w:tcPr>
            <w:tcW w:type="dxa" w:w="3249"/>
            <w:vAlign w:val="center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Grounding</w:t>
            </w:r>
          </w:p>
        </w:tc>
        <w:tc>
          <w:tcPr>
            <w:tcW w:type="dxa" w:w="3249"/>
            <w:vAlign w:val="center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UI‑TARS 1.5/7B 类模型</w:t>
            </w:r>
          </w:p>
        </w:tc>
        <w:tc>
          <w:tcPr>
            <w:tcW w:type="dxa" w:w="3249"/>
            <w:vAlign w:val="center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用于屏幕元素定位与坐标输出。</w:t>
            </w:r>
          </w:p>
        </w:tc>
      </w:tr>
      <w:tr>
        <w:tc>
          <w:tcPr>
            <w:tcW w:type="dxa" w:w="3249"/>
            <w:vAlign w:val="center"/>
            <w:shd w:fill="FAFCFE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浏览器</w:t>
            </w:r>
          </w:p>
        </w:tc>
        <w:tc>
          <w:tcPr>
            <w:tcW w:type="dxa" w:w="3249"/>
            <w:vAlign w:val="center"/>
            <w:shd w:fill="FAFCFE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OpenClaw Browser</w:t>
            </w:r>
          </w:p>
        </w:tc>
        <w:tc>
          <w:tcPr>
            <w:tcW w:type="dxa" w:w="3249"/>
            <w:vAlign w:val="center"/>
            <w:shd w:fill="FAFCFE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标准网页流程优先使用。</w:t>
            </w:r>
          </w:p>
        </w:tc>
      </w:tr>
      <w:tr>
        <w:tc>
          <w:tcPr>
            <w:tcW w:type="dxa" w:w="3249"/>
            <w:vAlign w:val="center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桌面执行</w:t>
            </w:r>
          </w:p>
        </w:tc>
        <w:tc>
          <w:tcPr>
            <w:tcW w:type="dxa" w:w="3249"/>
            <w:vAlign w:val="center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Agent‑S</w:t>
            </w:r>
          </w:p>
        </w:tc>
        <w:tc>
          <w:tcPr>
            <w:tcW w:type="dxa" w:w="3249"/>
            <w:vAlign w:val="center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用于真实 GUI 兜底与复杂交互。</w:t>
            </w:r>
          </w:p>
        </w:tc>
      </w:tr>
      <w:tr>
        <w:tc>
          <w:tcPr>
            <w:tcW w:type="dxa" w:w="3249"/>
            <w:vAlign w:val="center"/>
            <w:shd w:fill="FAFCFE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脚本/后处理</w:t>
            </w:r>
          </w:p>
        </w:tc>
        <w:tc>
          <w:tcPr>
            <w:tcW w:type="dxa" w:w="3249"/>
            <w:vAlign w:val="center"/>
            <w:shd w:fill="FAFCFE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OpenClaw Exec/Node</w:t>
            </w:r>
          </w:p>
        </w:tc>
        <w:tc>
          <w:tcPr>
            <w:tcW w:type="dxa" w:w="3249"/>
            <w:vAlign w:val="center"/>
            <w:shd w:fill="FAFCFE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做日志整理、图片裁剪、报告生成。</w:t>
            </w:r>
          </w:p>
        </w:tc>
      </w:tr>
    </w:tbl>
    <w:p/>
    <w:p>
      <w:pPr>
        <w:pStyle w:val="Heading1"/>
      </w:pPr>
      <w:r>
        <w:t>八、OpenClaw 调用 Agent‑S 的推荐接口形态</w:t>
      </w:r>
    </w:p>
    <w:p>
      <w:pPr>
        <w:spacing w:after="100" w:line="300" w:lineRule="auto"/>
      </w:pPr>
      <w:r>
        <w:t>建议不要让 OpenClaw 直接 import Agent‑S 的内部 Python 类，而是通过稳定边界调用。最推荐两种：</w:t>
      </w:r>
    </w:p>
    <w:p>
      <w:pPr>
        <w:spacing w:after="60" w:line="288" w:lineRule="auto"/>
        <w:ind w:left="340"/>
      </w:pPr>
      <w:r>
        <w:rPr>
          <w:rFonts w:ascii="Arial" w:hAnsi="Arial" w:eastAsia="Microsoft YaHei"/>
          <w:sz w:val="21"/>
        </w:rPr>
        <w:t>• 方式 A：本地 HTTP 服务。OpenClaw 调一个 localhost 服务，提交 instruction、site profile、超时参数和 run_id；服务返回步骤流与最终结果。</w:t>
      </w:r>
    </w:p>
    <w:p>
      <w:pPr>
        <w:spacing w:after="60" w:line="288" w:lineRule="auto"/>
        <w:ind w:left="340"/>
      </w:pPr>
      <w:r>
        <w:rPr>
          <w:rFonts w:ascii="Arial" w:hAnsi="Arial" w:eastAsia="Microsoft YaHei"/>
          <w:sz w:val="21"/>
        </w:rPr>
        <w:t>• 方式 B：受控 CLI。OpenClaw 通过 exec/node 调一个固定命令，读取 JSON 输入文件并输出 JSON 结果文件。</w:t>
      </w:r>
    </w:p>
    <w:p>
      <w:pPr>
        <w:spacing w:after="100" w:line="300" w:lineRule="auto"/>
      </w:pPr>
      <w:r>
        <w:t>优先推荐方式 A，因为更容易做状态查询、流式日志、失败重试和后续扩展。</w:t>
      </w:r>
    </w:p>
    <w:p>
      <w:pPr>
        <w:pStyle w:val="CodeBlock"/>
        <w:ind w:left="340"/>
      </w:pPr>
      <w:r>
        <w:t>POST /agent-s/run</w:t>
        <w:br/>
        <w:t>{</w:t>
        <w:br/>
        <w:t xml:space="preserve">  "run_id": "check-20260320-001",</w:t>
        <w:br/>
        <w:t xml:space="preserve">  "instruction": "登录目标网站，进入检索页，搜索关键词，截图结果区域并校验是否出现指定文本",</w:t>
        <w:br/>
        <w:t xml:space="preserve">  "site_profile": "site_a_search.json",</w:t>
        <w:br/>
        <w:t xml:space="preserve">  "timeout_sec": 300,</w:t>
        <w:br/>
        <w:t xml:space="preserve">  "evidence_dir": "D:/巡检/runs/check-20260320-001"</w:t>
        <w:br/>
        <w:t>}</w:t>
        <w:br/>
        <w:br/>
        <w:t>返回：</w:t>
        <w:br/>
        <w:t>{</w:t>
        <w:br/>
        <w:t xml:space="preserve">  "status": "ok|partial|failed",</w:t>
        <w:br/>
        <w:t xml:space="preserve">  "executor": "browser|agent-s",</w:t>
        <w:br/>
        <w:t xml:space="preserve">  "steps": [...],</w:t>
        <w:br/>
        <w:t xml:space="preserve">  "screenshots": [...],</w:t>
        <w:br/>
        <w:t xml:space="preserve">  "findings": [...],</w:t>
        <w:br/>
        <w:t xml:space="preserve">  "summary": "..."</w:t>
        <w:br/>
        <w:t>}</w:t>
      </w:r>
    </w:p>
    <w:p>
      <w:pPr>
        <w:pStyle w:val="Heading1"/>
      </w:pPr>
      <w:r>
        <w:t>九、Codex 实施清单</w:t>
      </w:r>
    </w:p>
    <w:p>
      <w:pPr>
        <w:spacing w:after="100" w:line="300" w:lineRule="auto"/>
      </w:pPr>
      <w:r>
        <w:t>以下内容可以直接作为你上传给 Codex 的工作拆分。</w:t>
      </w:r>
    </w:p>
    <w:p>
      <w:pPr>
        <w:spacing w:after="60" w:line="288" w:lineRule="auto"/>
        <w:ind w:left="340"/>
      </w:pPr>
      <w:r>
        <w:rPr>
          <w:rFonts w:ascii="Arial" w:hAnsi="Arial" w:eastAsia="Microsoft YaHei"/>
          <w:sz w:val="21"/>
        </w:rPr>
        <w:t>• 建立 monorepo 或统一目录：/openclaw-adapter、/agent-s-service、/site-profiles、/evidence-store、/reports。</w:t>
      </w:r>
    </w:p>
    <w:p>
      <w:pPr>
        <w:spacing w:after="60" w:line="288" w:lineRule="auto"/>
        <w:ind w:left="340"/>
      </w:pPr>
      <w:r>
        <w:rPr>
          <w:rFonts w:ascii="Arial" w:hAnsi="Arial" w:eastAsia="Microsoft YaHei"/>
          <w:sz w:val="21"/>
        </w:rPr>
        <w:t>• 先完成 Agent‑S 单机跑通：固定分辨率、单显示器、截图、点击、输入、执行一条简单桌面任务。</w:t>
      </w:r>
    </w:p>
    <w:p>
      <w:pPr>
        <w:spacing w:after="60" w:line="288" w:lineRule="auto"/>
        <w:ind w:left="340"/>
      </w:pPr>
      <w:r>
        <w:rPr>
          <w:rFonts w:ascii="Arial" w:hAnsi="Arial" w:eastAsia="Microsoft YaHei"/>
          <w:sz w:val="21"/>
        </w:rPr>
        <w:t>• 为 Agent‑S Service 增加健康检查、日志、截图落盘、超时控制、失败码定义。</w:t>
      </w:r>
    </w:p>
    <w:p>
      <w:pPr>
        <w:spacing w:after="60" w:line="288" w:lineRule="auto"/>
        <w:ind w:left="340"/>
      </w:pPr>
      <w:r>
        <w:rPr>
          <w:rFonts w:ascii="Arial" w:hAnsi="Arial" w:eastAsia="Microsoft YaHei"/>
          <w:sz w:val="21"/>
        </w:rPr>
        <w:t>• 编写 OpenClaw 侧适配器：将巡检任务转成 HTTP/CLI 请求，接收结果并持久化。</w:t>
      </w:r>
    </w:p>
    <w:p>
      <w:pPr>
        <w:spacing w:after="60" w:line="288" w:lineRule="auto"/>
        <w:ind w:left="340"/>
      </w:pPr>
      <w:r>
        <w:rPr>
          <w:rFonts w:ascii="Arial" w:hAnsi="Arial" w:eastAsia="Microsoft YaHei"/>
          <w:sz w:val="21"/>
        </w:rPr>
        <w:t>• 实现 router：若任务模板标记 browser_only 则强制 Browser；若 browser_failover_to_gui=true 则 Browser 失败后转 Agent‑S。</w:t>
      </w:r>
    </w:p>
    <w:p>
      <w:pPr>
        <w:spacing w:after="60" w:line="288" w:lineRule="auto"/>
        <w:ind w:left="340"/>
      </w:pPr>
      <w:r>
        <w:rPr>
          <w:rFonts w:ascii="Arial" w:hAnsi="Arial" w:eastAsia="Microsoft YaHei"/>
          <w:sz w:val="21"/>
        </w:rPr>
        <w:t>• 实现 evidence schema：统一 screenshot、dom_snapshot、raw_log、finding、result.json 的目录结构与命名规则。</w:t>
      </w:r>
    </w:p>
    <w:p>
      <w:pPr>
        <w:spacing w:after="60" w:line="288" w:lineRule="auto"/>
        <w:ind w:left="340"/>
      </w:pPr>
      <w:r>
        <w:rPr>
          <w:rFonts w:ascii="Arial" w:hAnsi="Arial" w:eastAsia="Microsoft YaHei"/>
          <w:sz w:val="21"/>
        </w:rPr>
        <w:t>• 实现异常分类：登录失败、白屏、元素缺失、文本异常、结果为空、超时、交互失败、系统弹窗阻塞。</w:t>
      </w:r>
    </w:p>
    <w:p>
      <w:pPr>
        <w:spacing w:after="60" w:line="288" w:lineRule="auto"/>
        <w:ind w:left="340"/>
      </w:pPr>
      <w:r>
        <w:rPr>
          <w:rFonts w:ascii="Arial" w:hAnsi="Arial" w:eastAsia="Microsoft YaHei"/>
          <w:sz w:val="21"/>
        </w:rPr>
        <w:t>• 做 3 套基准模板：登录检查、搜索检查、内容页检查；每套至少跑 20 次统计成功率。</w:t>
      </w:r>
    </w:p>
    <w:p>
      <w:pPr>
        <w:spacing w:after="60" w:line="288" w:lineRule="auto"/>
        <w:ind w:left="340"/>
      </w:pPr>
      <w:r>
        <w:rPr>
          <w:rFonts w:ascii="Arial" w:hAnsi="Arial" w:eastAsia="Microsoft YaHei"/>
          <w:sz w:val="21"/>
        </w:rPr>
        <w:t>• 最后再接入日报导出与告警通知。</w:t>
      </w:r>
    </w:p>
    <w:p>
      <w:pPr>
        <w:pStyle w:val="Heading1"/>
      </w:pPr>
      <w:r>
        <w:t>十、验收指标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2381"/>
            <w:vAlign w:val="center"/>
            <w:shd w:fill="1F4E79"/>
          </w:tcPr>
          <w:p>
            <w:pPr>
              <w:jc w:val="center"/>
            </w:pPr>
            <w:r/>
            <w:r>
              <w:rPr>
                <w:rFonts w:ascii="Arial" w:hAnsi="Arial" w:eastAsia="Microsoft YaHei"/>
                <w:b/>
                <w:color w:val="FFFFFF"/>
                <w:sz w:val="20"/>
              </w:rPr>
              <w:t>指标</w:t>
            </w:r>
          </w:p>
        </w:tc>
        <w:tc>
          <w:tcPr>
            <w:tcW w:type="dxa" w:w="3061"/>
            <w:vAlign w:val="center"/>
            <w:shd w:fill="1F4E79"/>
          </w:tcPr>
          <w:p>
            <w:pPr>
              <w:jc w:val="center"/>
            </w:pPr>
            <w:r/>
            <w:r>
              <w:rPr>
                <w:rFonts w:ascii="Arial" w:hAnsi="Arial" w:eastAsia="Microsoft YaHei"/>
                <w:b/>
                <w:color w:val="FFFFFF"/>
                <w:sz w:val="20"/>
              </w:rPr>
              <w:t>建议阈值</w:t>
            </w:r>
          </w:p>
        </w:tc>
        <w:tc>
          <w:tcPr>
            <w:tcW w:type="dxa" w:w="3345"/>
            <w:vAlign w:val="center"/>
            <w:shd w:fill="1F4E79"/>
          </w:tcPr>
          <w:p>
            <w:pPr>
              <w:jc w:val="center"/>
            </w:pPr>
            <w:r/>
            <w:r>
              <w:rPr>
                <w:rFonts w:ascii="Arial" w:hAnsi="Arial" w:eastAsia="Microsoft YaHei"/>
                <w:b/>
                <w:color w:val="FFFFFF"/>
                <w:sz w:val="20"/>
              </w:rPr>
              <w:t>说明</w:t>
            </w:r>
          </w:p>
        </w:tc>
      </w:tr>
      <w:tr>
        <w:tc>
          <w:tcPr>
            <w:tcW w:type="dxa" w:w="3249"/>
            <w:vAlign w:val="center"/>
            <w:shd w:fill="FAFCFE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标准网页巡检成功率</w:t>
            </w:r>
          </w:p>
        </w:tc>
        <w:tc>
          <w:tcPr>
            <w:tcW w:type="dxa" w:w="3249"/>
            <w:vAlign w:val="center"/>
            <w:shd w:fill="FAFCFE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≥ 95%</w:t>
            </w:r>
          </w:p>
        </w:tc>
        <w:tc>
          <w:tcPr>
            <w:tcW w:type="dxa" w:w="3249"/>
            <w:vAlign w:val="center"/>
            <w:shd w:fill="FAFCFE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优先由 Browser 完成的场景。</w:t>
            </w:r>
          </w:p>
        </w:tc>
      </w:tr>
      <w:tr>
        <w:tc>
          <w:tcPr>
            <w:tcW w:type="dxa" w:w="3249"/>
            <w:vAlign w:val="center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复杂 GUI 巡检成功率</w:t>
            </w:r>
          </w:p>
        </w:tc>
        <w:tc>
          <w:tcPr>
            <w:tcW w:type="dxa" w:w="3249"/>
            <w:vAlign w:val="center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首期 ≥ 75%，迭代后 ≥ 85%</w:t>
            </w:r>
          </w:p>
        </w:tc>
        <w:tc>
          <w:tcPr>
            <w:tcW w:type="dxa" w:w="3249"/>
            <w:vAlign w:val="center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由 Agent‑S 兜底的场景。</w:t>
            </w:r>
          </w:p>
        </w:tc>
      </w:tr>
      <w:tr>
        <w:tc>
          <w:tcPr>
            <w:tcW w:type="dxa" w:w="3249"/>
            <w:vAlign w:val="center"/>
            <w:shd w:fill="FAFCFE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单任务平均耗时</w:t>
            </w:r>
          </w:p>
        </w:tc>
        <w:tc>
          <w:tcPr>
            <w:tcW w:type="dxa" w:w="3249"/>
            <w:vAlign w:val="center"/>
            <w:shd w:fill="FAFCFE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标准场景 ≤ 60 秒</w:t>
            </w:r>
          </w:p>
        </w:tc>
        <w:tc>
          <w:tcPr>
            <w:tcW w:type="dxa" w:w="3249"/>
            <w:vAlign w:val="center"/>
            <w:shd w:fill="FAFCFE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复杂场景可单独统计。</w:t>
            </w:r>
          </w:p>
        </w:tc>
      </w:tr>
      <w:tr>
        <w:tc>
          <w:tcPr>
            <w:tcW w:type="dxa" w:w="3249"/>
            <w:vAlign w:val="center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证据完整率</w:t>
            </w:r>
          </w:p>
        </w:tc>
        <w:tc>
          <w:tcPr>
            <w:tcW w:type="dxa" w:w="3249"/>
            <w:vAlign w:val="center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100%</w:t>
            </w:r>
          </w:p>
        </w:tc>
        <w:tc>
          <w:tcPr>
            <w:tcW w:type="dxa" w:w="3249"/>
            <w:vAlign w:val="center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每次失败必须有最后一步截图和错误原因。</w:t>
            </w:r>
          </w:p>
        </w:tc>
      </w:tr>
      <w:tr>
        <w:tc>
          <w:tcPr>
            <w:tcW w:type="dxa" w:w="3249"/>
            <w:vAlign w:val="center"/>
            <w:shd w:fill="FAFCFE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可复盘率</w:t>
            </w:r>
          </w:p>
        </w:tc>
        <w:tc>
          <w:tcPr>
            <w:tcW w:type="dxa" w:w="3249"/>
            <w:vAlign w:val="center"/>
            <w:shd w:fill="FAFCFE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100%</w:t>
            </w:r>
          </w:p>
        </w:tc>
        <w:tc>
          <w:tcPr>
            <w:tcW w:type="dxa" w:w="3249"/>
            <w:vAlign w:val="center"/>
            <w:shd w:fill="FAFCFE"/>
          </w:tcPr>
          <w:p>
            <w:r/>
            <w:r>
              <w:rPr>
                <w:rFonts w:ascii="Arial" w:hAnsi="Arial" w:eastAsia="Microsoft YaHei"/>
                <w:b w:val="0"/>
                <w:sz w:val="20"/>
              </w:rPr>
              <w:t>同一 run_id 能回看步骤、截图、异常。</w:t>
            </w:r>
          </w:p>
        </w:tc>
      </w:tr>
    </w:tbl>
    <w:p/>
    <w:p>
      <w:pPr>
        <w:pStyle w:val="Heading1"/>
      </w:pPr>
      <w:r>
        <w:t>十一、风险与控制措施</w:t>
      </w:r>
    </w:p>
    <w:p>
      <w:pPr>
        <w:spacing w:after="100" w:line="300" w:lineRule="auto"/>
      </w:pPr>
      <w:r>
        <w:t>风险 1：桌面 GUI 不稳定。控制措施：固定分辨率、固定缩放、单显示器、固定浏览器窗口大小。</w:t>
      </w:r>
    </w:p>
    <w:p>
      <w:pPr>
        <w:spacing w:after="100" w:line="300" w:lineRule="auto"/>
      </w:pPr>
      <w:r>
        <w:t>风险 2：OpenClaw 与 Agent‑S 职责混乱。控制措施：通过 router 和统一结果模型明确边界。</w:t>
      </w:r>
    </w:p>
    <w:p>
      <w:pPr>
        <w:spacing w:after="100" w:line="300" w:lineRule="auto"/>
      </w:pPr>
      <w:r>
        <w:t>风险 3：模型调用成本高。控制措施：标准场景先走 Browser/DOM；只把复杂问题升级到 Agent‑S。</w:t>
      </w:r>
    </w:p>
    <w:p>
      <w:pPr>
        <w:spacing w:after="100" w:line="300" w:lineRule="auto"/>
      </w:pPr>
      <w:r>
        <w:t>风险 4：错误难复盘。控制措施：每步截图、每步日志、每步状态码。</w:t>
      </w:r>
    </w:p>
    <w:p>
      <w:pPr>
        <w:spacing w:after="100" w:line="300" w:lineRule="auto"/>
      </w:pPr>
      <w:r>
        <w:t>风险 5：误操作真实环境。控制措施：先在测试账号、测试环境和白名单站点落地，并设置人工审批阈值。</w:t>
      </w:r>
    </w:p>
    <w:p>
      <w:pPr>
        <w:pStyle w:val="Heading1"/>
      </w:pPr>
      <w:r>
        <w:t>十二、明确建议</w:t>
      </w:r>
    </w:p>
    <w:p>
      <w:pPr>
        <w:spacing w:after="100" w:line="300" w:lineRule="auto"/>
      </w:pPr>
      <w:r>
        <w:t>最终建议如下：</w:t>
      </w:r>
    </w:p>
    <w:p>
      <w:pPr>
        <w:spacing w:after="60" w:line="288" w:lineRule="auto"/>
        <w:ind w:left="340"/>
      </w:pPr>
      <w:r>
        <w:rPr>
          <w:rFonts w:ascii="Arial" w:hAnsi="Arial" w:eastAsia="Microsoft YaHei"/>
          <w:sz w:val="21"/>
        </w:rPr>
        <w:t>• 结论 1：可以让 OpenClaw 分配任务，再调用 Agent‑S 去做它擅长的 GUI 执行，这条路线成立。</w:t>
      </w:r>
    </w:p>
    <w:p>
      <w:pPr>
        <w:spacing w:after="60" w:line="288" w:lineRule="auto"/>
        <w:ind w:left="340"/>
      </w:pPr>
      <w:r>
        <w:rPr>
          <w:rFonts w:ascii="Arial" w:hAnsi="Arial" w:eastAsia="Microsoft YaHei"/>
          <w:sz w:val="21"/>
        </w:rPr>
        <w:t>• 结论 2：对于网站巡检，不要一上来全部用 Agent‑S；应采用‘OpenClaw Browser 优先，Agent‑S 兜底’的双执行器策略。</w:t>
      </w:r>
    </w:p>
    <w:p>
      <w:pPr>
        <w:spacing w:after="60" w:line="288" w:lineRule="auto"/>
        <w:ind w:left="340"/>
      </w:pPr>
      <w:r>
        <w:rPr>
          <w:rFonts w:ascii="Arial" w:hAnsi="Arial" w:eastAsia="Microsoft YaHei"/>
          <w:sz w:val="21"/>
        </w:rPr>
        <w:t>• 结论 3：你现有的大模型 API（GPT‑5.4）适合作为 Agent‑S 的主推理模型；UI‑TARS 更适合做 grounding 与精确定位增强。</w:t>
      </w:r>
    </w:p>
    <w:p>
      <w:pPr>
        <w:spacing w:after="60" w:line="288" w:lineRule="auto"/>
        <w:ind w:left="340"/>
      </w:pPr>
      <w:r>
        <w:rPr>
          <w:rFonts w:ascii="Arial" w:hAnsi="Arial" w:eastAsia="Microsoft YaHei"/>
          <w:sz w:val="21"/>
        </w:rPr>
        <w:t>• 结论 4：优先把 Agent‑S 封装成 OpenClaw 可调用的本地服务，而不是反过来让 UI‑TARS Desktop 成为总控平台。</w:t>
      </w:r>
    </w:p>
    <w:p>
      <w:pPr>
        <w:spacing w:after="60" w:line="288" w:lineRule="auto"/>
        <w:ind w:left="340"/>
      </w:pPr>
      <w:r>
        <w:rPr>
          <w:rFonts w:ascii="Arial" w:hAnsi="Arial" w:eastAsia="Microsoft YaHei"/>
          <w:sz w:val="21"/>
        </w:rPr>
        <w:t>• 结论 5：先做最小闭环，再做模板化，再做批量巡检与日报。</w:t>
      </w:r>
    </w:p>
    <w:p>
      <w:pPr>
        <w:pStyle w:val="Heading1"/>
      </w:pPr>
      <w:r>
        <w:t>十三、资料依据（供 Codex / 人工复核）</w:t>
      </w:r>
    </w:p>
    <w:p>
      <w:pPr>
        <w:pStyle w:val="SmallText"/>
        <w:spacing w:after="40"/>
        <w:ind w:left="227"/>
      </w:pPr>
      <w:r>
        <w:t>1) Agent‑S GitHub README：介绍其定位、安装方式、主模型与 grounding 配置、SDK/CLI 用法，以及 S3 在 OSWorld/WindowsAgentArena/AndroidWorld 上的公开结果。</w:t>
      </w:r>
    </w:p>
    <w:p>
      <w:pPr>
        <w:pStyle w:val="SmallText"/>
        <w:spacing w:after="40"/>
        <w:ind w:left="227"/>
      </w:pPr>
      <w:r>
        <w:t>2) Simular《Agent S2 Technical Review》：说明 Mixture of Grounding 与 Proactive Hierarchical Planning 的设计重点。</w:t>
      </w:r>
    </w:p>
    <w:p>
      <w:pPr>
        <w:pStyle w:val="SmallText"/>
        <w:spacing w:after="40"/>
        <w:ind w:left="227"/>
      </w:pPr>
      <w:r>
        <w:t>3) UI‑TARS Desktop GitHub README：说明其本地/远程 computer operator、browser operator、跨平台和本地 GUI Agent 特性。</w:t>
      </w:r>
    </w:p>
    <w:p>
      <w:pPr>
        <w:pStyle w:val="SmallText"/>
        <w:spacing w:after="40"/>
        <w:ind w:left="227"/>
      </w:pPr>
      <w:r>
        <w:t>4) OpenClaw Docs：Tools、Browser、Nodes、Getting Started、config 文档，说明其总控、Browser、Node、exec 与配置能力。</w:t>
      </w:r>
    </w:p>
    <w:p>
      <w:pPr>
        <w:pStyle w:val="SmallText"/>
        <w:spacing w:after="40"/>
        <w:ind w:left="227"/>
      </w:pPr>
      <w:r>
        <w:t>5) OpenAI Platform 文档：当前 API 文档导航显示 GPT‑5.4 为最新模型系列之一，可作为主推理模型来源。</w:t>
      </w:r>
    </w:p>
    <w:sectPr w:rsidR="00FC693F" w:rsidRPr="0006063C" w:rsidSect="00034616">
      <w:pgSz w:w="12240" w:h="15840"/>
      <w:pgMar w:top="1247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Microsoft YaHei"/>
      <w:b/>
      <w:bCs/>
      <w:color w:val="1A4766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Microsoft YaHei"/>
      <w:b/>
      <w:bCs/>
      <w:color w:val="2C3E5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 w:eastAsia="Microsoft YaHei"/>
      <w:b/>
      <w:bCs/>
      <w:color w:val="404040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Microsoft YaHei"/>
      <w:b/>
      <w:color w:val="1A4766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Block">
    <w:name w:val="CodeBlock"/>
    <w:rPr>
      <w:rFonts w:ascii="Consolas" w:hAnsi="Consolas" w:eastAsia="Consolas"/>
      <w:sz w:val="18"/>
    </w:rPr>
  </w:style>
  <w:style w:type="paragraph" w:customStyle="1" w:styleId="SmallText">
    <w:name w:val="SmallText"/>
    <w:rPr>
      <w:rFonts w:ascii="Arial" w:hAnsi="Arial" w:eastAsia="Microsoft YaHei"/>
      <w:color w:val="5A5A5A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